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5"/>
        <w:gridCol w:w="5805"/>
      </w:tblGrid>
      <w:tr w:rsidR="00B64D04" w14:paraId="41C3CE27" w14:textId="77777777" w:rsidTr="001C0E95">
        <w:tc>
          <w:tcPr>
            <w:tcW w:w="4755" w:type="dxa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14:paraId="41C3CE24" w14:textId="77777777" w:rsidR="00B64D04" w:rsidRDefault="00520D69">
            <w:r>
              <w:rPr>
                <w:noProof/>
              </w:rPr>
              <w:drawing>
                <wp:inline distT="0" distB="0" distL="0" distR="0" wp14:anchorId="41C3CE52" wp14:editId="41C3CE53">
                  <wp:extent cx="3019425" cy="685800"/>
                  <wp:effectExtent l="0" t="0" r="0" b="0"/>
                  <wp:docPr id="1" name="logo" descr="UT Austin PhARM Program logo" title="PhARM Pr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5" w:type="dxa"/>
            <w:tcMar>
              <w:top w:w="0" w:type="dxa"/>
              <w:left w:w="120" w:type="dxa"/>
              <w:bottom w:w="60" w:type="dxa"/>
              <w:right w:w="0" w:type="dxa"/>
            </w:tcMar>
            <w:vAlign w:val="bottom"/>
          </w:tcPr>
          <w:p w14:paraId="35B65EA5" w14:textId="77777777" w:rsidR="001C0E95" w:rsidRPr="001C0E95" w:rsidRDefault="00520D69" w:rsidP="001C0E95">
            <w:pPr>
              <w:jc w:val="right"/>
              <w:rPr>
                <w:rFonts w:ascii="Georgia" w:eastAsia="Georgia" w:hAnsi="Georgia" w:cs="Georgia"/>
                <w:b/>
                <w:bCs/>
                <w:color w:val="BF5700"/>
                <w:sz w:val="44"/>
                <w:szCs w:val="44"/>
              </w:rPr>
            </w:pPr>
            <w:r w:rsidRPr="001C0E95">
              <w:rPr>
                <w:rFonts w:ascii="Georgia" w:eastAsia="Georgia" w:hAnsi="Georgia" w:cs="Georgia"/>
                <w:b/>
                <w:bCs/>
                <w:color w:val="BF5700"/>
                <w:sz w:val="44"/>
                <w:szCs w:val="44"/>
              </w:rPr>
              <w:t>Naloxone Stability</w:t>
            </w:r>
          </w:p>
          <w:p w14:paraId="41C3CE26" w14:textId="59268482" w:rsidR="00B64D04" w:rsidRPr="001C0E95" w:rsidRDefault="00520D69" w:rsidP="001C0E95">
            <w:pPr>
              <w:jc w:val="right"/>
              <w:rPr>
                <w:sz w:val="15"/>
                <w:szCs w:val="15"/>
              </w:rPr>
            </w:pPr>
            <w:r w:rsidRPr="001C0E95">
              <w:rPr>
                <w:i/>
                <w:iCs/>
                <w:color w:val="666666"/>
                <w:sz w:val="15"/>
                <w:szCs w:val="15"/>
              </w:rPr>
              <w:t>A resource for harm reduction programs, first responders, and community partners</w:t>
            </w:r>
          </w:p>
        </w:tc>
      </w:tr>
    </w:tbl>
    <w:p w14:paraId="41C3CE28" w14:textId="77777777" w:rsidR="00B64D04" w:rsidRDefault="00B64D04">
      <w:pPr>
        <w:spacing w:before="100"/>
      </w:pPr>
    </w:p>
    <w:p w14:paraId="3AEADCF9" w14:textId="77777777" w:rsidR="003D768E" w:rsidRDefault="003D768E">
      <w:pPr>
        <w:spacing w:before="100"/>
      </w:pPr>
    </w:p>
    <w:p w14:paraId="41C3CE29" w14:textId="77777777" w:rsidR="00B64D04" w:rsidRDefault="00520D69">
      <w:pPr>
        <w:pBdr>
          <w:bottom w:val="single" w:sz="6" w:space="2" w:color="BF5700"/>
        </w:pBdr>
        <w:spacing w:before="140" w:after="60"/>
      </w:pPr>
      <w:r>
        <w:rPr>
          <w:b/>
          <w:bCs/>
          <w:color w:val="BF5700"/>
          <w:sz w:val="22"/>
          <w:szCs w:val="22"/>
        </w:rPr>
        <w:t>Bottom Line</w:t>
      </w:r>
    </w:p>
    <w:p w14:paraId="41C3CE2A" w14:textId="77777777" w:rsidR="00B64D04" w:rsidRDefault="00520D69">
      <w:pPr>
        <w:spacing w:before="40" w:after="40"/>
      </w:pPr>
      <w:r>
        <w:t>Naloxone is more stable than its labeled expiration date suggests. Research consistently shows that both chemical potency and device performance are preserved well beyond FDA-required dating, across a wide range of storage conditions. While proper storage remains advisable, expired or heat-exposed naloxone is unlikely to be clinically ineffective.</w:t>
      </w:r>
    </w:p>
    <w:tbl>
      <w:tblPr>
        <w:tblpPr w:leftFromText="180" w:rightFromText="180" w:vertAnchor="text" w:horzAnchor="margin" w:tblpY="239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0"/>
      </w:tblGrid>
      <w:tr w:rsidR="001C0E95" w14:paraId="69CF2C17" w14:textId="77777777" w:rsidTr="001C0E95">
        <w:tc>
          <w:tcPr>
            <w:tcW w:w="10440" w:type="dxa"/>
            <w:tcBorders>
              <w:top w:val="single" w:sz="12" w:space="0" w:color="BF5700"/>
              <w:left w:val="single" w:sz="12" w:space="0" w:color="BF5700"/>
              <w:bottom w:val="single" w:sz="4" w:space="0" w:color="D6A87A"/>
              <w:right w:val="single" w:sz="4" w:space="0" w:color="D6A87A"/>
            </w:tcBorders>
            <w:shd w:val="clear" w:color="auto" w:fill="FDF3E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3755FDD" w14:textId="77777777" w:rsidR="001C0E95" w:rsidRDefault="001C0E95" w:rsidP="001C0E95">
            <w:pPr>
              <w:spacing w:after="60"/>
            </w:pPr>
            <w:r w:rsidRPr="008333C0">
              <w:rPr>
                <w:b/>
                <w:bCs/>
                <w:color w:val="B64E00"/>
                <w:sz w:val="20"/>
                <w:szCs w:val="20"/>
              </w:rPr>
              <w:t>Practical Guidance for Distribution Programs</w:t>
            </w:r>
          </w:p>
          <w:p w14:paraId="38EB6CAA" w14:textId="3BD73090" w:rsidR="001C0E95" w:rsidRDefault="001C0E95" w:rsidP="001C0E95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t>Do not discard expired naloxone if no replacement is available. An expired kit is better than no kit.</w:t>
            </w:r>
          </w:p>
          <w:p w14:paraId="3AB48542" w14:textId="49DBEC3B" w:rsidR="001C0E95" w:rsidRDefault="001C0E95" w:rsidP="001C0E95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t>Store at room temperature, away from direct sunlight. Vehicle storage is acceptable as a secondary location but should not be the only kit a person carries.</w:t>
            </w:r>
          </w:p>
          <w:p w14:paraId="3A69041A" w14:textId="4B02ADB0" w:rsidR="001C0E95" w:rsidRDefault="001C0E95" w:rsidP="001C0E95"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t>Prioritize distribution over expiration management. An expired product reaching a person in need is preferable to held inventory awaiting replacement.</w:t>
            </w:r>
          </w:p>
        </w:tc>
      </w:tr>
    </w:tbl>
    <w:p w14:paraId="41C3CE2B" w14:textId="77777777" w:rsidR="00B64D04" w:rsidRDefault="00B64D04">
      <w:pPr>
        <w:spacing w:before="100"/>
      </w:pPr>
    </w:p>
    <w:p w14:paraId="41C3CE2C" w14:textId="77777777" w:rsidR="00B64D04" w:rsidRDefault="00520D69">
      <w:pPr>
        <w:pBdr>
          <w:bottom w:val="single" w:sz="6" w:space="2" w:color="BF5700"/>
        </w:pBdr>
        <w:spacing w:before="140" w:after="60"/>
      </w:pPr>
      <w:r>
        <w:rPr>
          <w:b/>
          <w:bCs/>
          <w:color w:val="BF5700"/>
          <w:sz w:val="22"/>
          <w:szCs w:val="22"/>
        </w:rPr>
        <w:t>Evidence Summary</w:t>
      </w: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5040"/>
        <w:gridCol w:w="2200"/>
      </w:tblGrid>
      <w:tr w:rsidR="00B64D04" w14:paraId="41C3CE30" w14:textId="77777777"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F57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C3CE2D" w14:textId="77777777" w:rsidR="00B64D04" w:rsidRDefault="00520D69">
            <w:r>
              <w:rPr>
                <w:b/>
                <w:bCs/>
                <w:color w:val="FFFFFF"/>
                <w:sz w:val="17"/>
                <w:szCs w:val="17"/>
              </w:rPr>
              <w:t>Finding</w:t>
            </w:r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F57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C3CE2E" w14:textId="77777777" w:rsidR="00B64D04" w:rsidRDefault="00520D69">
            <w:r>
              <w:rPr>
                <w:b/>
                <w:bCs/>
                <w:color w:val="FFFFFF"/>
                <w:sz w:val="17"/>
                <w:szCs w:val="17"/>
              </w:rPr>
              <w:t>Key Detail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F57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C3CE2F" w14:textId="77777777" w:rsidR="00B64D04" w:rsidRDefault="00520D69">
            <w:r>
              <w:rPr>
                <w:b/>
                <w:bCs/>
                <w:color w:val="FFFFFF"/>
                <w:sz w:val="17"/>
                <w:szCs w:val="17"/>
              </w:rPr>
              <w:t>Source</w:t>
            </w:r>
          </w:p>
        </w:tc>
      </w:tr>
      <w:tr w:rsidR="00B64D04" w14:paraId="41C3CE34" w14:textId="77777777"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C3CE31" w14:textId="77777777" w:rsidR="00B64D04" w:rsidRDefault="00520D69">
            <w:r>
              <w:rPr>
                <w:sz w:val="16"/>
                <w:szCs w:val="16"/>
              </w:rPr>
              <w:t>Shelf life beyond labeled expiration</w:t>
            </w:r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C3CE32" w14:textId="77777777" w:rsidR="00B64D04" w:rsidRDefault="00520D69">
            <w:r>
              <w:rPr>
                <w:color w:val="666666"/>
                <w:sz w:val="16"/>
                <w:szCs w:val="16"/>
              </w:rPr>
              <w:t>Minimal degradation up to 30+ years from manufacture; expired first responder kits retained potency.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C3CE33" w14:textId="77777777" w:rsidR="00B64D04" w:rsidRDefault="00520D69">
            <w:r>
              <w:rPr>
                <w:color w:val="666666"/>
                <w:sz w:val="16"/>
                <w:szCs w:val="16"/>
              </w:rPr>
              <w:t>Pruyn et al., 2019</w:t>
            </w:r>
          </w:p>
        </w:tc>
      </w:tr>
      <w:tr w:rsidR="00B64D04" w14:paraId="41C3CE38" w14:textId="77777777"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C3CE35" w14:textId="77777777" w:rsidR="00B64D04" w:rsidRDefault="00520D69">
            <w:r>
              <w:rPr>
                <w:sz w:val="16"/>
                <w:szCs w:val="16"/>
              </w:rPr>
              <w:t>Heat stability (chemical)</w:t>
            </w:r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C3CE36" w14:textId="77777777" w:rsidR="00B64D04" w:rsidRDefault="00520D69">
            <w:r>
              <w:rPr>
                <w:color w:val="666666"/>
                <w:sz w:val="16"/>
                <w:szCs w:val="16"/>
              </w:rPr>
              <w:t>No significant degradation after 28 days at 80°C (176°F); freeze-thaw cycling did not reduce potency.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C3CE37" w14:textId="77777777" w:rsidR="00B64D04" w:rsidRDefault="00520D69">
            <w:r>
              <w:rPr>
                <w:color w:val="666666"/>
                <w:sz w:val="16"/>
                <w:szCs w:val="16"/>
              </w:rPr>
              <w:t>Lai et al., 2019</w:t>
            </w:r>
          </w:p>
        </w:tc>
      </w:tr>
      <w:tr w:rsidR="00B64D04" w14:paraId="41C3CE3C" w14:textId="77777777"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C3CE39" w14:textId="77777777" w:rsidR="00B64D04" w:rsidRDefault="00520D69">
            <w:r>
              <w:rPr>
                <w:sz w:val="16"/>
                <w:szCs w:val="16"/>
              </w:rPr>
              <w:t>Heat stability (device function)</w:t>
            </w:r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C3CE3A" w14:textId="77777777" w:rsidR="00B64D04" w:rsidRDefault="00520D69">
            <w:r>
              <w:rPr>
                <w:color w:val="666666"/>
                <w:sz w:val="16"/>
                <w:szCs w:val="16"/>
              </w:rPr>
              <w:t>Nasal spray devices at 71°C (160°F) for 10 hours dispensed consistent volumes; performance unchanged.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C3CE3B" w14:textId="77777777" w:rsidR="00B64D04" w:rsidRDefault="00520D69">
            <w:r>
              <w:rPr>
                <w:color w:val="666666"/>
                <w:sz w:val="16"/>
                <w:szCs w:val="16"/>
              </w:rPr>
              <w:t>Estephan et al., 2020</w:t>
            </w:r>
          </w:p>
        </w:tc>
      </w:tr>
    </w:tbl>
    <w:p w14:paraId="41C3CE3D" w14:textId="77777777" w:rsidR="00B64D04" w:rsidRDefault="00B64D04">
      <w:pPr>
        <w:spacing w:before="100"/>
      </w:pPr>
    </w:p>
    <w:p w14:paraId="41C3CE3E" w14:textId="77777777" w:rsidR="00B64D04" w:rsidRDefault="00520D69">
      <w:pPr>
        <w:pBdr>
          <w:bottom w:val="single" w:sz="6" w:space="2" w:color="BF5700"/>
        </w:pBdr>
        <w:spacing w:before="140" w:after="60"/>
      </w:pPr>
      <w:r>
        <w:rPr>
          <w:b/>
          <w:bCs/>
          <w:color w:val="BF5700"/>
          <w:sz w:val="22"/>
          <w:szCs w:val="22"/>
        </w:rPr>
        <w:t>Expiration Dating</w:t>
      </w:r>
    </w:p>
    <w:p w14:paraId="41C3CE3F" w14:textId="77777777" w:rsidR="00B64D04" w:rsidRDefault="00520D69">
      <w:pPr>
        <w:spacing w:before="40" w:after="40"/>
      </w:pPr>
      <w:r>
        <w:t>FDA expiration dates reflect the minimum period a manufacturer has tested and guaranteed potency, not the point at which a product becomes unsafe. Naloxone degrades slowly under standard conditions. In a study of expired kits collected from first responder supplies, all samples retained substantial potency, with some products viable more than 30 years after manufacture.</w:t>
      </w:r>
    </w:p>
    <w:p w14:paraId="41C3CE40" w14:textId="77777777" w:rsidR="00B64D04" w:rsidRDefault="00B64D04">
      <w:pPr>
        <w:spacing w:before="80"/>
      </w:pPr>
    </w:p>
    <w:p w14:paraId="41C3CE41" w14:textId="77777777" w:rsidR="00B64D04" w:rsidRDefault="00520D69">
      <w:pPr>
        <w:pBdr>
          <w:bottom w:val="single" w:sz="6" w:space="2" w:color="BF5700"/>
        </w:pBdr>
        <w:spacing w:before="140" w:after="60"/>
      </w:pPr>
      <w:r>
        <w:rPr>
          <w:b/>
          <w:bCs/>
          <w:color w:val="BF5700"/>
          <w:sz w:val="22"/>
          <w:szCs w:val="22"/>
        </w:rPr>
        <w:t>Temperature Exposure</w:t>
      </w:r>
    </w:p>
    <w:p w14:paraId="41C3CE42" w14:textId="5DD53216" w:rsidR="00B64D04" w:rsidRDefault="004C56CF">
      <w:pPr>
        <w:spacing w:before="40" w:after="40"/>
      </w:pPr>
      <w:r>
        <w:t>In another study, e</w:t>
      </w:r>
      <w:r w:rsidR="00520D69">
        <w:t>xtreme heat (80°C / 176°F) sustained over 28 days did not produce significant chemical degradation in laboratory testing. Freeze-thaw cycling, relevant for cold-climate storage, also did not meaningfully reduce potency.</w:t>
      </w:r>
    </w:p>
    <w:p w14:paraId="41C3CE43" w14:textId="77777777" w:rsidR="00B64D04" w:rsidRDefault="00B64D04">
      <w:pPr>
        <w:spacing w:before="80"/>
      </w:pPr>
    </w:p>
    <w:p w14:paraId="41C3CE44" w14:textId="181D20A3" w:rsidR="00B64D04" w:rsidRDefault="009B2833">
      <w:pPr>
        <w:pBdr>
          <w:bottom w:val="single" w:sz="6" w:space="2" w:color="BF5700"/>
        </w:pBdr>
        <w:spacing w:before="140" w:after="60"/>
      </w:pPr>
      <w:r>
        <w:rPr>
          <w:b/>
          <w:bCs/>
          <w:color w:val="BF5700"/>
          <w:sz w:val="22"/>
          <w:szCs w:val="22"/>
        </w:rPr>
        <w:t xml:space="preserve">Nasal </w:t>
      </w:r>
      <w:r w:rsidR="00520D69">
        <w:rPr>
          <w:b/>
          <w:bCs/>
          <w:color w:val="BF5700"/>
          <w:sz w:val="22"/>
          <w:szCs w:val="22"/>
        </w:rPr>
        <w:t>Device Performance</w:t>
      </w:r>
    </w:p>
    <w:p w14:paraId="41C3CE45" w14:textId="193A2785" w:rsidR="00B64D04" w:rsidRDefault="00520D69">
      <w:pPr>
        <w:spacing w:before="40" w:after="40"/>
      </w:pPr>
      <w:r>
        <w:t xml:space="preserve">Nasal spray devices exposed to 71°C (160°F) for 10 hours dispensed consistent naloxone volumes per </w:t>
      </w:r>
      <w:r w:rsidR="009B2833">
        <w:t>use</w:t>
      </w:r>
      <w:r>
        <w:t>. The primary concern with vehicle storage is access, not stability: a kit in a car is unavailable when the overdose occurs elsewhere. Clients should carry naloxone on their person whenever possible.</w:t>
      </w:r>
    </w:p>
    <w:p w14:paraId="41C3CE46" w14:textId="77777777" w:rsidR="00B64D04" w:rsidRDefault="00B64D04">
      <w:pPr>
        <w:spacing w:before="100"/>
      </w:pPr>
    </w:p>
    <w:p w14:paraId="41C3CE4C" w14:textId="77777777" w:rsidR="00B64D04" w:rsidRDefault="00B64D04">
      <w:pPr>
        <w:spacing w:before="120" w:after="60"/>
      </w:pPr>
    </w:p>
    <w:p w14:paraId="41C3CE4D" w14:textId="77777777" w:rsidR="00B64D04" w:rsidRDefault="00520D69">
      <w:pPr>
        <w:pBdr>
          <w:bottom w:val="single" w:sz="6" w:space="2" w:color="BF5700"/>
        </w:pBdr>
        <w:spacing w:before="140" w:after="60"/>
      </w:pPr>
      <w:r>
        <w:rPr>
          <w:b/>
          <w:bCs/>
          <w:color w:val="BF5700"/>
          <w:sz w:val="22"/>
          <w:szCs w:val="22"/>
        </w:rPr>
        <w:t>References</w:t>
      </w:r>
    </w:p>
    <w:p w14:paraId="41C3CE4E" w14:textId="77777777" w:rsidR="00B64D04" w:rsidRDefault="00520D69">
      <w:pPr>
        <w:spacing w:before="30" w:after="30"/>
        <w:ind w:left="320" w:hanging="320"/>
      </w:pPr>
      <w:r>
        <w:rPr>
          <w:b/>
          <w:bCs/>
          <w:color w:val="BF5700"/>
          <w:sz w:val="15"/>
          <w:szCs w:val="15"/>
        </w:rPr>
        <w:t xml:space="preserve">1.  </w:t>
      </w:r>
      <w:r>
        <w:rPr>
          <w:i/>
          <w:iCs/>
          <w:color w:val="666666"/>
          <w:sz w:val="15"/>
          <w:szCs w:val="15"/>
        </w:rPr>
        <w:t xml:space="preserve">Pruyn S, et al. Quality Assessment of Expired Naloxone Products from First-Responders’ Supplies. </w:t>
      </w:r>
      <w:proofErr w:type="spellStart"/>
      <w:r>
        <w:rPr>
          <w:i/>
          <w:iCs/>
          <w:color w:val="666666"/>
          <w:sz w:val="15"/>
          <w:szCs w:val="15"/>
        </w:rPr>
        <w:t>Prehosp</w:t>
      </w:r>
      <w:proofErr w:type="spellEnd"/>
      <w:r>
        <w:rPr>
          <w:i/>
          <w:iCs/>
          <w:color w:val="666666"/>
          <w:sz w:val="15"/>
          <w:szCs w:val="15"/>
        </w:rPr>
        <w:t xml:space="preserve"> Emerg Care. 2019;23(5):647-653. doi:10.1080/10903127.2018.1563257</w:t>
      </w:r>
    </w:p>
    <w:p w14:paraId="41C3CE4F" w14:textId="77777777" w:rsidR="00B64D04" w:rsidRDefault="00520D69">
      <w:pPr>
        <w:spacing w:before="30" w:after="30"/>
        <w:ind w:left="320" w:hanging="320"/>
      </w:pPr>
      <w:r>
        <w:rPr>
          <w:b/>
          <w:bCs/>
          <w:color w:val="BF5700"/>
          <w:sz w:val="15"/>
          <w:szCs w:val="15"/>
        </w:rPr>
        <w:t xml:space="preserve">2.  </w:t>
      </w:r>
      <w:r>
        <w:rPr>
          <w:i/>
          <w:iCs/>
          <w:color w:val="666666"/>
          <w:sz w:val="15"/>
          <w:szCs w:val="15"/>
        </w:rPr>
        <w:t xml:space="preserve">Lai D, et al. The effects of heat and freeze-thaw cycling on naloxone stability. Harm </w:t>
      </w:r>
      <w:proofErr w:type="spellStart"/>
      <w:r>
        <w:rPr>
          <w:i/>
          <w:iCs/>
          <w:color w:val="666666"/>
          <w:sz w:val="15"/>
          <w:szCs w:val="15"/>
        </w:rPr>
        <w:t>Reduct</w:t>
      </w:r>
      <w:proofErr w:type="spellEnd"/>
      <w:r>
        <w:rPr>
          <w:i/>
          <w:iCs/>
          <w:color w:val="666666"/>
          <w:sz w:val="15"/>
          <w:szCs w:val="15"/>
        </w:rPr>
        <w:t xml:space="preserve"> J. 2019;16(1):17. doi:10.1186/s12954-019-0288-4</w:t>
      </w:r>
    </w:p>
    <w:p w14:paraId="41C3CE50" w14:textId="77777777" w:rsidR="00B64D04" w:rsidRDefault="00520D69">
      <w:pPr>
        <w:spacing w:before="30" w:after="30"/>
        <w:ind w:left="320" w:hanging="320"/>
      </w:pPr>
      <w:r>
        <w:rPr>
          <w:b/>
          <w:bCs/>
          <w:color w:val="BF5700"/>
          <w:sz w:val="15"/>
          <w:szCs w:val="15"/>
        </w:rPr>
        <w:t xml:space="preserve">3.  </w:t>
      </w:r>
      <w:r>
        <w:rPr>
          <w:i/>
          <w:iCs/>
          <w:color w:val="666666"/>
          <w:sz w:val="15"/>
          <w:szCs w:val="15"/>
        </w:rPr>
        <w:t xml:space="preserve">Estephan M, et al. Effect of Extreme Temperature on Naloxone Nasal Spray Dispensing Device Performance. </w:t>
      </w:r>
      <w:proofErr w:type="spellStart"/>
      <w:r>
        <w:rPr>
          <w:i/>
          <w:iCs/>
          <w:color w:val="666666"/>
          <w:sz w:val="15"/>
          <w:szCs w:val="15"/>
        </w:rPr>
        <w:t>Prehosp</w:t>
      </w:r>
      <w:proofErr w:type="spellEnd"/>
      <w:r>
        <w:rPr>
          <w:i/>
          <w:iCs/>
          <w:color w:val="666666"/>
          <w:sz w:val="15"/>
          <w:szCs w:val="15"/>
        </w:rPr>
        <w:t xml:space="preserve"> Disaster Med. 2020;35(3):272-275. doi:10.1017/S1049023X20000400</w:t>
      </w:r>
    </w:p>
    <w:p w14:paraId="41C3CE51" w14:textId="77777777" w:rsidR="00B64D04" w:rsidRDefault="00520D69">
      <w:pPr>
        <w:pBdr>
          <w:top w:val="single" w:sz="4" w:space="4" w:color="CCCCCC"/>
        </w:pBdr>
        <w:spacing w:before="100"/>
      </w:pPr>
      <w:r w:rsidRPr="008333C0">
        <w:rPr>
          <w:i/>
          <w:iCs/>
          <w:color w:val="747474"/>
          <w:sz w:val="14"/>
          <w:szCs w:val="14"/>
        </w:rPr>
        <w:t>This resource summarizes published peer-reviewed evidence and is intended for educational purposes. Clinical and programmatic decisions should incorporate local context and professional judgment.</w:t>
      </w:r>
    </w:p>
    <w:sectPr w:rsidR="00B64D04">
      <w:pgSz w:w="12240" w:h="15840"/>
      <w:pgMar w:top="720" w:right="900" w:bottom="720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C7DFA" w14:textId="77777777" w:rsidR="00A930B1" w:rsidRDefault="00A930B1" w:rsidP="003D768E">
      <w:r>
        <w:separator/>
      </w:r>
    </w:p>
  </w:endnote>
  <w:endnote w:type="continuationSeparator" w:id="0">
    <w:p w14:paraId="65B118C5" w14:textId="77777777" w:rsidR="00A930B1" w:rsidRDefault="00A930B1" w:rsidP="003D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E4703" w14:textId="77777777" w:rsidR="00A930B1" w:rsidRDefault="00A930B1" w:rsidP="003D768E">
      <w:r>
        <w:separator/>
      </w:r>
    </w:p>
  </w:footnote>
  <w:footnote w:type="continuationSeparator" w:id="0">
    <w:p w14:paraId="56B31A7F" w14:textId="77777777" w:rsidR="00A930B1" w:rsidRDefault="00A930B1" w:rsidP="003D7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861"/>
    <w:multiLevelType w:val="hybridMultilevel"/>
    <w:tmpl w:val="0658C8D6"/>
    <w:lvl w:ilvl="0" w:tplc="2B6ADA7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70958"/>
    <w:multiLevelType w:val="hybridMultilevel"/>
    <w:tmpl w:val="F4A2B432"/>
    <w:lvl w:ilvl="0" w:tplc="83C22B44">
      <w:start w:val="1"/>
      <w:numFmt w:val="bullet"/>
      <w:lvlText w:val="●"/>
      <w:lvlJc w:val="left"/>
      <w:pPr>
        <w:ind w:left="720" w:hanging="360"/>
      </w:pPr>
    </w:lvl>
    <w:lvl w:ilvl="1" w:tplc="279CEACA">
      <w:start w:val="1"/>
      <w:numFmt w:val="bullet"/>
      <w:lvlText w:val="○"/>
      <w:lvlJc w:val="left"/>
      <w:pPr>
        <w:ind w:left="1440" w:hanging="360"/>
      </w:pPr>
    </w:lvl>
    <w:lvl w:ilvl="2" w:tplc="F508CF82">
      <w:start w:val="1"/>
      <w:numFmt w:val="bullet"/>
      <w:lvlText w:val="■"/>
      <w:lvlJc w:val="left"/>
      <w:pPr>
        <w:ind w:left="2160" w:hanging="360"/>
      </w:pPr>
    </w:lvl>
    <w:lvl w:ilvl="3" w:tplc="3C82C9E8">
      <w:start w:val="1"/>
      <w:numFmt w:val="bullet"/>
      <w:lvlText w:val="●"/>
      <w:lvlJc w:val="left"/>
      <w:pPr>
        <w:ind w:left="2880" w:hanging="360"/>
      </w:pPr>
    </w:lvl>
    <w:lvl w:ilvl="4" w:tplc="78AAABDA">
      <w:start w:val="1"/>
      <w:numFmt w:val="bullet"/>
      <w:lvlText w:val="○"/>
      <w:lvlJc w:val="left"/>
      <w:pPr>
        <w:ind w:left="3600" w:hanging="360"/>
      </w:pPr>
    </w:lvl>
    <w:lvl w:ilvl="5" w:tplc="3AC4D9D0">
      <w:start w:val="1"/>
      <w:numFmt w:val="bullet"/>
      <w:lvlText w:val="■"/>
      <w:lvlJc w:val="left"/>
      <w:pPr>
        <w:ind w:left="4320" w:hanging="360"/>
      </w:pPr>
    </w:lvl>
    <w:lvl w:ilvl="6" w:tplc="B386BAD2">
      <w:start w:val="1"/>
      <w:numFmt w:val="bullet"/>
      <w:lvlText w:val="●"/>
      <w:lvlJc w:val="left"/>
      <w:pPr>
        <w:ind w:left="5040" w:hanging="360"/>
      </w:pPr>
    </w:lvl>
    <w:lvl w:ilvl="7" w:tplc="BE6E2CB4">
      <w:start w:val="1"/>
      <w:numFmt w:val="bullet"/>
      <w:lvlText w:val="●"/>
      <w:lvlJc w:val="left"/>
      <w:pPr>
        <w:ind w:left="5760" w:hanging="360"/>
      </w:pPr>
    </w:lvl>
    <w:lvl w:ilvl="8" w:tplc="6F1E2CF0">
      <w:start w:val="1"/>
      <w:numFmt w:val="bullet"/>
      <w:lvlText w:val="●"/>
      <w:lvlJc w:val="left"/>
      <w:pPr>
        <w:ind w:left="6480" w:hanging="360"/>
      </w:pPr>
    </w:lvl>
  </w:abstractNum>
  <w:num w:numId="1" w16cid:durableId="286398154">
    <w:abstractNumId w:val="1"/>
    <w:lvlOverride w:ilvl="0">
      <w:startOverride w:val="1"/>
    </w:lvlOverride>
  </w:num>
  <w:num w:numId="2" w16cid:durableId="1600332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D04"/>
    <w:rsid w:val="001C0E95"/>
    <w:rsid w:val="003D768E"/>
    <w:rsid w:val="004C56CF"/>
    <w:rsid w:val="00520D69"/>
    <w:rsid w:val="008333C0"/>
    <w:rsid w:val="009B2833"/>
    <w:rsid w:val="00A930B1"/>
    <w:rsid w:val="00B64D04"/>
    <w:rsid w:val="00CA2D19"/>
    <w:rsid w:val="00FB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3CE24"/>
  <w15:docId w15:val="{681620A1-187F-4AA6-B448-71D18629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F48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76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68E"/>
  </w:style>
  <w:style w:type="paragraph" w:styleId="Footer">
    <w:name w:val="footer"/>
    <w:basedOn w:val="Normal"/>
    <w:link w:val="FooterChar"/>
    <w:uiPriority w:val="99"/>
    <w:unhideWhenUsed/>
    <w:rsid w:val="003D76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Sarabia, Gavin</cp:lastModifiedBy>
  <cp:revision>2</cp:revision>
  <dcterms:created xsi:type="dcterms:W3CDTF">2026-04-22T23:44:00Z</dcterms:created>
  <dcterms:modified xsi:type="dcterms:W3CDTF">2026-04-22T23:44:00Z</dcterms:modified>
</cp:coreProperties>
</file>